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pStyle w:val="2"/>
        <w:numPr>
          <w:ilvl w:val="0"/>
          <w:numId w:val="0"/>
        </w:numPr>
        <w:rPr>
          <w:rFonts w:hint="default" w:ascii="仿宋_GB2312" w:hAnsi="仿宋_GB2312" w:eastAsia="仿宋_GB2312" w:cs="仿宋_GB2312"/>
          <w:kern w:val="2"/>
          <w:sz w:val="32"/>
          <w:szCs w:val="32"/>
          <w:highlight w:val="none"/>
          <w:lang w:val="en-US" w:eastAsia="zh-CN" w:bidi="ar-SA"/>
        </w:rPr>
      </w:pPr>
      <w:r>
        <w:rPr>
          <w:rFonts w:hint="eastAsia" w:ascii="仿宋_GB2312" w:hAnsi="仿宋_GB2312" w:eastAsia="仿宋_GB2312" w:cs="仿宋_GB2312"/>
          <w:kern w:val="2"/>
          <w:sz w:val="32"/>
          <w:szCs w:val="32"/>
          <w:highlight w:val="none"/>
          <w:lang w:val="en-US" w:eastAsia="zh-CN" w:bidi="ar-SA"/>
        </w:rPr>
        <w:t>附件2.年度服务评价标准</w:t>
      </w:r>
    </w:p>
    <w:tbl>
      <w:tblPr>
        <w:tblStyle w:val="4"/>
        <w:tblW w:w="6404" w:type="pct"/>
        <w:tblInd w:w="-1202" w:type="dxa"/>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Layout w:type="autofit"/>
        <w:tblCellMar>
          <w:top w:w="0" w:type="dxa"/>
          <w:left w:w="0" w:type="dxa"/>
          <w:bottom w:w="0" w:type="dxa"/>
          <w:right w:w="0" w:type="dxa"/>
        </w:tblCellMar>
      </w:tblPr>
      <w:tblGrid>
        <w:gridCol w:w="921"/>
        <w:gridCol w:w="1224"/>
        <w:gridCol w:w="662"/>
        <w:gridCol w:w="1089"/>
        <w:gridCol w:w="1371"/>
        <w:gridCol w:w="299"/>
        <w:gridCol w:w="1119"/>
        <w:gridCol w:w="1371"/>
        <w:gridCol w:w="1307"/>
        <w:gridCol w:w="662"/>
        <w:gridCol w:w="652"/>
      </w:tblGrid>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0" w:type="dxa"/>
            <w:bottom w:w="0" w:type="dxa"/>
            <w:right w:w="0" w:type="dxa"/>
          </w:tblCellMar>
        </w:tblPrEx>
        <w:trPr>
          <w:trHeight w:val="560" w:hRule="atLeast"/>
        </w:trPr>
        <w:tc>
          <w:tcPr>
            <w:tcW w:w="431" w:type="pct"/>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_GB2312" w:hAnsi="仿宋_GB2312" w:eastAsia="仿宋_GB2312" w:cs="仿宋_GB2312"/>
                <w:i w:val="0"/>
                <w:color w:val="auto"/>
                <w:sz w:val="22"/>
                <w:szCs w:val="22"/>
                <w:highlight w:val="none"/>
                <w:u w:val="none"/>
              </w:rPr>
            </w:pPr>
            <w:r>
              <w:rPr>
                <w:rFonts w:hint="eastAsia" w:ascii="仿宋_GB2312" w:hAnsi="仿宋_GB2312" w:eastAsia="仿宋_GB2312" w:cs="仿宋_GB2312"/>
                <w:i w:val="0"/>
                <w:color w:val="auto"/>
                <w:kern w:val="0"/>
                <w:sz w:val="22"/>
                <w:szCs w:val="22"/>
                <w:highlight w:val="none"/>
                <w:u w:val="none"/>
                <w:lang w:val="en-US" w:eastAsia="zh-CN" w:bidi="ar"/>
              </w:rPr>
              <w:t>中介名称</w:t>
            </w:r>
          </w:p>
        </w:tc>
        <w:tc>
          <w:tcPr>
            <w:tcW w:w="1393" w:type="pct"/>
            <w:gridSpan w:val="3"/>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jc w:val="left"/>
              <w:rPr>
                <w:rFonts w:hint="eastAsia" w:ascii="仿宋_GB2312" w:hAnsi="仿宋_GB2312" w:eastAsia="仿宋_GB2312" w:cs="仿宋_GB2312"/>
                <w:i w:val="0"/>
                <w:color w:val="auto"/>
                <w:sz w:val="22"/>
                <w:szCs w:val="22"/>
                <w:highlight w:val="none"/>
                <w:u w:val="none"/>
              </w:rPr>
            </w:pPr>
          </w:p>
        </w:tc>
        <w:tc>
          <w:tcPr>
            <w:tcW w:w="642" w:type="pct"/>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_GB2312" w:hAnsi="仿宋_GB2312" w:eastAsia="仿宋_GB2312" w:cs="仿宋_GB2312"/>
                <w:i w:val="0"/>
                <w:color w:val="auto"/>
                <w:sz w:val="22"/>
                <w:szCs w:val="22"/>
                <w:highlight w:val="none"/>
                <w:u w:val="none"/>
              </w:rPr>
            </w:pPr>
            <w:r>
              <w:rPr>
                <w:rFonts w:hint="eastAsia" w:ascii="仿宋_GB2312" w:hAnsi="仿宋_GB2312" w:eastAsia="仿宋_GB2312" w:cs="仿宋_GB2312"/>
                <w:i w:val="0"/>
                <w:color w:val="auto"/>
                <w:kern w:val="0"/>
                <w:sz w:val="22"/>
                <w:szCs w:val="22"/>
                <w:highlight w:val="none"/>
                <w:u w:val="none"/>
                <w:lang w:val="en-US" w:eastAsia="zh-CN" w:bidi="ar"/>
              </w:rPr>
              <w:t>评价时间</w:t>
            </w:r>
          </w:p>
        </w:tc>
        <w:tc>
          <w:tcPr>
            <w:tcW w:w="664" w:type="pct"/>
            <w:gridSpan w:val="2"/>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jc w:val="left"/>
              <w:rPr>
                <w:rFonts w:hint="eastAsia" w:ascii="仿宋_GB2312" w:hAnsi="仿宋_GB2312" w:eastAsia="仿宋_GB2312" w:cs="仿宋_GB2312"/>
                <w:i w:val="0"/>
                <w:color w:val="auto"/>
                <w:sz w:val="22"/>
                <w:szCs w:val="22"/>
                <w:highlight w:val="none"/>
                <w:u w:val="none"/>
              </w:rPr>
            </w:pPr>
          </w:p>
        </w:tc>
        <w:tc>
          <w:tcPr>
            <w:tcW w:w="642" w:type="pct"/>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_GB2312" w:hAnsi="仿宋_GB2312" w:eastAsia="仿宋_GB2312" w:cs="仿宋_GB2312"/>
                <w:i w:val="0"/>
                <w:color w:val="auto"/>
                <w:sz w:val="22"/>
                <w:szCs w:val="22"/>
                <w:highlight w:val="none"/>
                <w:u w:val="none"/>
              </w:rPr>
            </w:pPr>
            <w:r>
              <w:rPr>
                <w:rFonts w:hint="eastAsia" w:ascii="仿宋_GB2312" w:hAnsi="仿宋_GB2312" w:eastAsia="仿宋_GB2312" w:cs="仿宋_GB2312"/>
                <w:i w:val="0"/>
                <w:color w:val="auto"/>
                <w:kern w:val="0"/>
                <w:sz w:val="22"/>
                <w:szCs w:val="22"/>
                <w:highlight w:val="none"/>
                <w:u w:val="none"/>
                <w:lang w:val="en-US" w:eastAsia="zh-CN" w:bidi="ar"/>
              </w:rPr>
              <w:t>评价单位</w:t>
            </w:r>
          </w:p>
        </w:tc>
        <w:tc>
          <w:tcPr>
            <w:tcW w:w="1227" w:type="pct"/>
            <w:gridSpan w:val="3"/>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jc w:val="left"/>
              <w:rPr>
                <w:rFonts w:hint="eastAsia" w:ascii="仿宋_GB2312" w:hAnsi="仿宋_GB2312" w:eastAsia="仿宋_GB2312" w:cs="仿宋_GB2312"/>
                <w:i w:val="0"/>
                <w:color w:val="auto"/>
                <w:sz w:val="22"/>
                <w:szCs w:val="22"/>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0" w:type="dxa"/>
            <w:bottom w:w="0" w:type="dxa"/>
            <w:right w:w="0" w:type="dxa"/>
          </w:tblCellMar>
        </w:tblPrEx>
        <w:trPr>
          <w:trHeight w:val="560" w:hRule="atLeast"/>
        </w:trPr>
        <w:tc>
          <w:tcPr>
            <w:tcW w:w="431" w:type="pct"/>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jc w:val="left"/>
              <w:rPr>
                <w:rFonts w:hint="eastAsia" w:ascii="仿宋_GB2312" w:hAnsi="仿宋_GB2312" w:eastAsia="仿宋_GB2312" w:cs="仿宋_GB2312"/>
                <w:i w:val="0"/>
                <w:color w:val="auto"/>
                <w:sz w:val="22"/>
                <w:szCs w:val="22"/>
                <w:highlight w:val="none"/>
                <w:u w:val="none"/>
              </w:rPr>
            </w:pPr>
            <w:r>
              <w:rPr>
                <w:rFonts w:hint="eastAsia" w:ascii="仿宋_GB2312" w:hAnsi="仿宋_GB2312" w:eastAsia="仿宋_GB2312" w:cs="仿宋_GB2312"/>
                <w:i w:val="0"/>
                <w:color w:val="auto"/>
                <w:kern w:val="0"/>
                <w:sz w:val="22"/>
                <w:szCs w:val="22"/>
                <w:highlight w:val="none"/>
                <w:u w:val="none"/>
                <w:lang w:val="en-US" w:eastAsia="zh-CN" w:bidi="ar"/>
              </w:rPr>
              <w:t>项目名称</w:t>
            </w:r>
          </w:p>
        </w:tc>
        <w:tc>
          <w:tcPr>
            <w:tcW w:w="4568" w:type="pct"/>
            <w:gridSpan w:val="10"/>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jc w:val="left"/>
              <w:rPr>
                <w:rFonts w:hint="eastAsia" w:ascii="仿宋_GB2312" w:hAnsi="仿宋_GB2312" w:eastAsia="仿宋_GB2312" w:cs="仿宋_GB2312"/>
                <w:i w:val="0"/>
                <w:color w:val="auto"/>
                <w:kern w:val="0"/>
                <w:sz w:val="22"/>
                <w:szCs w:val="22"/>
                <w:highlight w:val="none"/>
                <w:u w:val="none"/>
                <w:lang w:val="en-US" w:eastAsia="zh-CN" w:bidi="ar"/>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0" w:type="dxa"/>
            <w:bottom w:w="0" w:type="dxa"/>
            <w:right w:w="0" w:type="dxa"/>
          </w:tblCellMar>
        </w:tblPrEx>
        <w:trPr>
          <w:trHeight w:val="840" w:hRule="atLeast"/>
        </w:trPr>
        <w:tc>
          <w:tcPr>
            <w:tcW w:w="431" w:type="pct"/>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_GB2312" w:hAnsi="仿宋_GB2312" w:eastAsia="仿宋_GB2312" w:cs="仿宋_GB2312"/>
                <w:b/>
                <w:i w:val="0"/>
                <w:color w:val="auto"/>
                <w:sz w:val="22"/>
                <w:szCs w:val="22"/>
                <w:highlight w:val="none"/>
                <w:u w:val="none"/>
              </w:rPr>
            </w:pPr>
            <w:r>
              <w:rPr>
                <w:rFonts w:hint="eastAsia" w:ascii="仿宋_GB2312" w:hAnsi="仿宋_GB2312" w:eastAsia="仿宋_GB2312" w:cs="仿宋_GB2312"/>
                <w:b/>
                <w:i w:val="0"/>
                <w:color w:val="auto"/>
                <w:kern w:val="0"/>
                <w:sz w:val="22"/>
                <w:szCs w:val="22"/>
                <w:highlight w:val="none"/>
                <w:u w:val="none"/>
                <w:lang w:val="en-US" w:eastAsia="zh-CN" w:bidi="ar"/>
              </w:rPr>
              <w:t>评价类别</w:t>
            </w:r>
          </w:p>
        </w:tc>
        <w:tc>
          <w:tcPr>
            <w:tcW w:w="573" w:type="pct"/>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仿宋_GB2312" w:eastAsia="仿宋_GB2312" w:cs="仿宋_GB2312"/>
                <w:b/>
                <w:i w:val="0"/>
                <w:color w:val="auto"/>
                <w:sz w:val="22"/>
                <w:szCs w:val="22"/>
                <w:highlight w:val="none"/>
                <w:u w:val="none"/>
              </w:rPr>
            </w:pPr>
            <w:r>
              <w:rPr>
                <w:rFonts w:hint="eastAsia" w:ascii="仿宋_GB2312" w:hAnsi="仿宋_GB2312" w:eastAsia="仿宋_GB2312" w:cs="仿宋_GB2312"/>
                <w:b/>
                <w:i w:val="0"/>
                <w:color w:val="auto"/>
                <w:kern w:val="0"/>
                <w:sz w:val="22"/>
                <w:szCs w:val="22"/>
                <w:highlight w:val="none"/>
                <w:u w:val="none"/>
                <w:lang w:val="en-US" w:eastAsia="zh-CN" w:bidi="ar"/>
              </w:rPr>
              <w:t>评价内容</w:t>
            </w:r>
          </w:p>
        </w:tc>
        <w:tc>
          <w:tcPr>
            <w:tcW w:w="310" w:type="pct"/>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仿宋_GB2312" w:eastAsia="仿宋_GB2312" w:cs="仿宋_GB2312"/>
                <w:b/>
                <w:i w:val="0"/>
                <w:color w:val="auto"/>
                <w:sz w:val="22"/>
                <w:szCs w:val="22"/>
                <w:highlight w:val="none"/>
                <w:u w:val="none"/>
              </w:rPr>
            </w:pPr>
            <w:r>
              <w:rPr>
                <w:rFonts w:hint="eastAsia" w:ascii="仿宋_GB2312" w:hAnsi="仿宋_GB2312" w:eastAsia="仿宋_GB2312" w:cs="仿宋_GB2312"/>
                <w:b/>
                <w:i w:val="0"/>
                <w:color w:val="auto"/>
                <w:kern w:val="0"/>
                <w:sz w:val="22"/>
                <w:szCs w:val="22"/>
                <w:highlight w:val="none"/>
                <w:u w:val="none"/>
                <w:lang w:val="en-US" w:eastAsia="zh-CN" w:bidi="ar"/>
              </w:rPr>
              <w:t>分值</w:t>
            </w:r>
          </w:p>
        </w:tc>
        <w:tc>
          <w:tcPr>
            <w:tcW w:w="1292" w:type="pct"/>
            <w:gridSpan w:val="3"/>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仿宋_GB2312" w:eastAsia="仿宋_GB2312" w:cs="仿宋_GB2312"/>
                <w:b/>
                <w:i w:val="0"/>
                <w:color w:val="auto"/>
                <w:sz w:val="22"/>
                <w:szCs w:val="22"/>
                <w:highlight w:val="none"/>
                <w:u w:val="none"/>
              </w:rPr>
            </w:pPr>
            <w:r>
              <w:rPr>
                <w:rFonts w:hint="eastAsia" w:ascii="仿宋_GB2312" w:hAnsi="仿宋_GB2312" w:eastAsia="仿宋_GB2312" w:cs="仿宋_GB2312"/>
                <w:b/>
                <w:i w:val="0"/>
                <w:color w:val="auto"/>
                <w:kern w:val="0"/>
                <w:sz w:val="22"/>
                <w:szCs w:val="22"/>
                <w:highlight w:val="none"/>
                <w:u w:val="none"/>
                <w:lang w:val="en-US" w:eastAsia="zh-CN" w:bidi="ar"/>
              </w:rPr>
              <w:t>评价标准</w:t>
            </w:r>
          </w:p>
        </w:tc>
        <w:tc>
          <w:tcPr>
            <w:tcW w:w="1166" w:type="pct"/>
            <w:gridSpan w:val="2"/>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仿宋_GB2312" w:eastAsia="仿宋_GB2312" w:cs="仿宋_GB2312"/>
                <w:b/>
                <w:i w:val="0"/>
                <w:color w:val="auto"/>
                <w:sz w:val="22"/>
                <w:szCs w:val="22"/>
                <w:highlight w:val="none"/>
                <w:u w:val="none"/>
              </w:rPr>
            </w:pPr>
            <w:r>
              <w:rPr>
                <w:rFonts w:hint="eastAsia" w:ascii="仿宋_GB2312" w:hAnsi="仿宋_GB2312" w:eastAsia="仿宋_GB2312" w:cs="仿宋_GB2312"/>
                <w:b/>
                <w:i w:val="0"/>
                <w:color w:val="auto"/>
                <w:kern w:val="0"/>
                <w:sz w:val="22"/>
                <w:szCs w:val="22"/>
                <w:highlight w:val="none"/>
                <w:u w:val="none"/>
                <w:lang w:val="en-US" w:eastAsia="zh-CN" w:bidi="ar"/>
              </w:rPr>
              <w:t>扣分标准</w:t>
            </w:r>
          </w:p>
        </w:tc>
        <w:tc>
          <w:tcPr>
            <w:tcW w:w="612" w:type="pct"/>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仿宋_GB2312" w:eastAsia="仿宋_GB2312" w:cs="仿宋_GB2312"/>
                <w:b/>
                <w:i w:val="0"/>
                <w:color w:val="auto"/>
                <w:sz w:val="22"/>
                <w:szCs w:val="22"/>
                <w:highlight w:val="none"/>
                <w:u w:val="none"/>
              </w:rPr>
            </w:pPr>
            <w:r>
              <w:rPr>
                <w:rFonts w:hint="eastAsia" w:ascii="仿宋_GB2312" w:hAnsi="仿宋_GB2312" w:eastAsia="仿宋_GB2312" w:cs="仿宋_GB2312"/>
                <w:b/>
                <w:i w:val="0"/>
                <w:color w:val="auto"/>
                <w:kern w:val="0"/>
                <w:sz w:val="22"/>
                <w:szCs w:val="22"/>
                <w:highlight w:val="none"/>
                <w:u w:val="none"/>
                <w:lang w:val="en-US" w:eastAsia="zh-CN" w:bidi="ar"/>
              </w:rPr>
              <w:t>减（加）分事项</w:t>
            </w:r>
          </w:p>
        </w:tc>
        <w:tc>
          <w:tcPr>
            <w:tcW w:w="310" w:type="pct"/>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仿宋_GB2312" w:eastAsia="仿宋_GB2312" w:cs="仿宋_GB2312"/>
                <w:b/>
                <w:i w:val="0"/>
                <w:color w:val="auto"/>
                <w:sz w:val="22"/>
                <w:szCs w:val="22"/>
                <w:highlight w:val="none"/>
                <w:u w:val="none"/>
              </w:rPr>
            </w:pPr>
            <w:r>
              <w:rPr>
                <w:rFonts w:hint="eastAsia" w:ascii="仿宋_GB2312" w:hAnsi="仿宋_GB2312" w:eastAsia="仿宋_GB2312" w:cs="仿宋_GB2312"/>
                <w:b/>
                <w:i w:val="0"/>
                <w:color w:val="auto"/>
                <w:kern w:val="0"/>
                <w:sz w:val="22"/>
                <w:szCs w:val="22"/>
                <w:highlight w:val="none"/>
                <w:u w:val="none"/>
                <w:lang w:val="en-US" w:eastAsia="zh-CN" w:bidi="ar"/>
              </w:rPr>
              <w:t>最终得分</w:t>
            </w:r>
          </w:p>
        </w:tc>
        <w:tc>
          <w:tcPr>
            <w:tcW w:w="305" w:type="pct"/>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仿宋_GB2312" w:eastAsia="仿宋_GB2312" w:cs="仿宋_GB2312"/>
                <w:b/>
                <w:i w:val="0"/>
                <w:color w:val="auto"/>
                <w:sz w:val="22"/>
                <w:szCs w:val="22"/>
                <w:highlight w:val="none"/>
                <w:u w:val="none"/>
              </w:rPr>
            </w:pPr>
            <w:r>
              <w:rPr>
                <w:rFonts w:hint="eastAsia" w:ascii="仿宋_GB2312" w:hAnsi="仿宋_GB2312" w:eastAsia="仿宋_GB2312" w:cs="仿宋_GB2312"/>
                <w:b/>
                <w:i w:val="0"/>
                <w:color w:val="auto"/>
                <w:kern w:val="0"/>
                <w:sz w:val="22"/>
                <w:szCs w:val="22"/>
                <w:highlight w:val="none"/>
                <w:u w:val="none"/>
                <w:lang w:val="en-US" w:eastAsia="zh-CN" w:bidi="ar"/>
              </w:rPr>
              <w:t>结果等级</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0" w:type="dxa"/>
            <w:bottom w:w="0" w:type="dxa"/>
            <w:right w:w="0" w:type="dxa"/>
          </w:tblCellMar>
        </w:tblPrEx>
        <w:trPr>
          <w:trHeight w:val="880" w:hRule="atLeast"/>
        </w:trPr>
        <w:tc>
          <w:tcPr>
            <w:tcW w:w="431" w:type="pct"/>
            <w:vMerge w:val="restart"/>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仿宋_GB2312" w:eastAsia="仿宋_GB2312" w:cs="仿宋_GB2312"/>
                <w:i w:val="0"/>
                <w:color w:val="auto"/>
                <w:sz w:val="22"/>
                <w:szCs w:val="22"/>
                <w:highlight w:val="none"/>
                <w:u w:val="none"/>
              </w:rPr>
            </w:pPr>
            <w:r>
              <w:rPr>
                <w:rFonts w:hint="eastAsia" w:ascii="仿宋_GB2312" w:hAnsi="仿宋_GB2312" w:eastAsia="仿宋_GB2312" w:cs="仿宋_GB2312"/>
                <w:i w:val="0"/>
                <w:color w:val="auto"/>
                <w:kern w:val="0"/>
                <w:sz w:val="22"/>
                <w:szCs w:val="22"/>
                <w:highlight w:val="none"/>
                <w:u w:val="none"/>
                <w:lang w:val="en-US" w:eastAsia="zh-CN" w:bidi="ar"/>
              </w:rPr>
              <w:t>服务评价</w:t>
            </w:r>
          </w:p>
        </w:tc>
        <w:tc>
          <w:tcPr>
            <w:tcW w:w="573" w:type="pct"/>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仿宋_GB2312" w:eastAsia="仿宋_GB2312" w:cs="仿宋_GB2312"/>
                <w:i w:val="0"/>
                <w:color w:val="auto"/>
                <w:sz w:val="22"/>
                <w:szCs w:val="22"/>
                <w:highlight w:val="none"/>
                <w:u w:val="none"/>
              </w:rPr>
            </w:pPr>
            <w:r>
              <w:rPr>
                <w:rFonts w:hint="eastAsia" w:ascii="仿宋_GB2312" w:hAnsi="仿宋_GB2312" w:eastAsia="仿宋_GB2312" w:cs="仿宋_GB2312"/>
                <w:i w:val="0"/>
                <w:color w:val="auto"/>
                <w:kern w:val="0"/>
                <w:sz w:val="22"/>
                <w:szCs w:val="22"/>
                <w:highlight w:val="none"/>
                <w:u w:val="none"/>
                <w:lang w:val="en-US" w:eastAsia="zh-CN" w:bidi="ar"/>
              </w:rPr>
              <w:t>工作完整性</w:t>
            </w:r>
          </w:p>
        </w:tc>
        <w:tc>
          <w:tcPr>
            <w:tcW w:w="310" w:type="pct"/>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仿宋_GB2312" w:eastAsia="仿宋_GB2312" w:cs="仿宋_GB2312"/>
                <w:i w:val="0"/>
                <w:color w:val="auto"/>
                <w:sz w:val="22"/>
                <w:szCs w:val="22"/>
                <w:highlight w:val="none"/>
                <w:u w:val="none"/>
              </w:rPr>
            </w:pPr>
            <w:r>
              <w:rPr>
                <w:rFonts w:hint="eastAsia" w:ascii="仿宋_GB2312" w:hAnsi="仿宋_GB2312" w:eastAsia="仿宋_GB2312" w:cs="仿宋_GB2312"/>
                <w:i w:val="0"/>
                <w:color w:val="auto"/>
                <w:kern w:val="0"/>
                <w:sz w:val="22"/>
                <w:szCs w:val="22"/>
                <w:highlight w:val="none"/>
                <w:u w:val="none"/>
                <w:lang w:val="en-US" w:eastAsia="zh-CN" w:bidi="ar"/>
              </w:rPr>
              <w:t>20</w:t>
            </w:r>
          </w:p>
        </w:tc>
        <w:tc>
          <w:tcPr>
            <w:tcW w:w="1292" w:type="pct"/>
            <w:gridSpan w:val="3"/>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_GB2312" w:hAnsi="仿宋_GB2312" w:eastAsia="仿宋_GB2312" w:cs="仿宋_GB2312"/>
                <w:i w:val="0"/>
                <w:color w:val="auto"/>
                <w:sz w:val="22"/>
                <w:szCs w:val="22"/>
                <w:highlight w:val="none"/>
                <w:u w:val="none"/>
              </w:rPr>
            </w:pPr>
            <w:r>
              <w:rPr>
                <w:rFonts w:hint="eastAsia" w:ascii="仿宋_GB2312" w:hAnsi="仿宋_GB2312" w:eastAsia="仿宋_GB2312" w:cs="仿宋_GB2312"/>
                <w:i w:val="0"/>
                <w:color w:val="auto"/>
                <w:kern w:val="0"/>
                <w:sz w:val="22"/>
                <w:szCs w:val="22"/>
                <w:highlight w:val="none"/>
                <w:u w:val="none"/>
                <w:lang w:val="en-US" w:eastAsia="zh-CN" w:bidi="ar"/>
              </w:rPr>
              <w:t>是否按照约定完成所有的工作内容，并形成完整的服务成果。</w:t>
            </w:r>
          </w:p>
        </w:tc>
        <w:tc>
          <w:tcPr>
            <w:tcW w:w="1166" w:type="pct"/>
            <w:gridSpan w:val="2"/>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_GB2312" w:hAnsi="仿宋_GB2312" w:eastAsia="仿宋_GB2312" w:cs="仿宋_GB2312"/>
                <w:i w:val="0"/>
                <w:color w:val="auto"/>
                <w:sz w:val="22"/>
                <w:szCs w:val="22"/>
                <w:highlight w:val="none"/>
                <w:u w:val="none"/>
              </w:rPr>
            </w:pPr>
            <w:r>
              <w:rPr>
                <w:rFonts w:hint="eastAsia" w:ascii="仿宋_GB2312" w:hAnsi="仿宋_GB2312" w:eastAsia="仿宋_GB2312" w:cs="仿宋_GB2312"/>
                <w:i w:val="0"/>
                <w:color w:val="auto"/>
                <w:kern w:val="0"/>
                <w:sz w:val="22"/>
                <w:szCs w:val="22"/>
                <w:highlight w:val="none"/>
                <w:u w:val="none"/>
                <w:lang w:val="en-US" w:eastAsia="zh-CN" w:bidi="ar"/>
              </w:rPr>
              <w:t>服务成果缺失一项扣5分，并按约定补齐服务成果。</w:t>
            </w:r>
          </w:p>
        </w:tc>
        <w:tc>
          <w:tcPr>
            <w:tcW w:w="612" w:type="pct"/>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jc w:val="center"/>
              <w:rPr>
                <w:rFonts w:hint="eastAsia" w:ascii="仿宋_GB2312" w:hAnsi="仿宋_GB2312" w:eastAsia="仿宋_GB2312" w:cs="仿宋_GB2312"/>
                <w:i w:val="0"/>
                <w:color w:val="auto"/>
                <w:sz w:val="22"/>
                <w:szCs w:val="22"/>
                <w:highlight w:val="none"/>
                <w:u w:val="none"/>
              </w:rPr>
            </w:pPr>
          </w:p>
        </w:tc>
        <w:tc>
          <w:tcPr>
            <w:tcW w:w="310" w:type="pct"/>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jc w:val="center"/>
              <w:rPr>
                <w:rFonts w:hint="eastAsia" w:ascii="仿宋_GB2312" w:hAnsi="仿宋_GB2312" w:eastAsia="仿宋_GB2312" w:cs="仿宋_GB2312"/>
                <w:i w:val="0"/>
                <w:color w:val="auto"/>
                <w:sz w:val="22"/>
                <w:szCs w:val="22"/>
                <w:highlight w:val="none"/>
                <w:u w:val="none"/>
              </w:rPr>
            </w:pPr>
          </w:p>
        </w:tc>
        <w:tc>
          <w:tcPr>
            <w:tcW w:w="305" w:type="pct"/>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jc w:val="center"/>
              <w:rPr>
                <w:rFonts w:hint="eastAsia" w:ascii="仿宋_GB2312" w:hAnsi="仿宋_GB2312" w:eastAsia="仿宋_GB2312" w:cs="仿宋_GB2312"/>
                <w:i w:val="0"/>
                <w:color w:val="auto"/>
                <w:sz w:val="22"/>
                <w:szCs w:val="22"/>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0" w:type="dxa"/>
            <w:bottom w:w="0" w:type="dxa"/>
            <w:right w:w="0" w:type="dxa"/>
          </w:tblCellMar>
        </w:tblPrEx>
        <w:trPr>
          <w:trHeight w:val="1350" w:hRule="atLeast"/>
        </w:trPr>
        <w:tc>
          <w:tcPr>
            <w:tcW w:w="431" w:type="pct"/>
            <w:vMerge w:val="continue"/>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jc w:val="center"/>
              <w:rPr>
                <w:rFonts w:hint="eastAsia" w:ascii="仿宋_GB2312" w:hAnsi="仿宋_GB2312" w:eastAsia="仿宋_GB2312" w:cs="仿宋_GB2312"/>
                <w:i w:val="0"/>
                <w:color w:val="auto"/>
                <w:sz w:val="22"/>
                <w:szCs w:val="22"/>
                <w:highlight w:val="none"/>
                <w:u w:val="none"/>
              </w:rPr>
            </w:pPr>
          </w:p>
        </w:tc>
        <w:tc>
          <w:tcPr>
            <w:tcW w:w="573" w:type="pct"/>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仿宋_GB2312" w:eastAsia="仿宋_GB2312" w:cs="仿宋_GB2312"/>
                <w:i w:val="0"/>
                <w:color w:val="auto"/>
                <w:sz w:val="22"/>
                <w:szCs w:val="22"/>
                <w:highlight w:val="none"/>
                <w:u w:val="none"/>
              </w:rPr>
            </w:pPr>
            <w:r>
              <w:rPr>
                <w:rFonts w:hint="eastAsia" w:ascii="仿宋_GB2312" w:hAnsi="仿宋_GB2312" w:eastAsia="仿宋_GB2312" w:cs="仿宋_GB2312"/>
                <w:i w:val="0"/>
                <w:color w:val="auto"/>
                <w:kern w:val="0"/>
                <w:sz w:val="22"/>
                <w:szCs w:val="22"/>
                <w:highlight w:val="none"/>
                <w:u w:val="none"/>
                <w:lang w:val="en-US" w:eastAsia="zh-CN" w:bidi="ar"/>
              </w:rPr>
              <w:t>工作质量</w:t>
            </w:r>
          </w:p>
        </w:tc>
        <w:tc>
          <w:tcPr>
            <w:tcW w:w="310" w:type="pct"/>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仿宋_GB2312" w:eastAsia="仿宋_GB2312" w:cs="仿宋_GB2312"/>
                <w:i w:val="0"/>
                <w:color w:val="auto"/>
                <w:sz w:val="22"/>
                <w:szCs w:val="22"/>
                <w:highlight w:val="none"/>
                <w:u w:val="none"/>
              </w:rPr>
            </w:pPr>
            <w:r>
              <w:rPr>
                <w:rFonts w:hint="eastAsia" w:ascii="仿宋_GB2312" w:hAnsi="仿宋_GB2312" w:eastAsia="仿宋_GB2312" w:cs="仿宋_GB2312"/>
                <w:i w:val="0"/>
                <w:color w:val="auto"/>
                <w:kern w:val="0"/>
                <w:sz w:val="22"/>
                <w:szCs w:val="22"/>
                <w:highlight w:val="none"/>
                <w:u w:val="none"/>
                <w:lang w:val="en-US" w:eastAsia="zh-CN" w:bidi="ar"/>
              </w:rPr>
              <w:t>30</w:t>
            </w:r>
          </w:p>
        </w:tc>
        <w:tc>
          <w:tcPr>
            <w:tcW w:w="1292" w:type="pct"/>
            <w:gridSpan w:val="3"/>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_GB2312" w:hAnsi="仿宋_GB2312" w:eastAsia="仿宋_GB2312" w:cs="仿宋_GB2312"/>
                <w:i w:val="0"/>
                <w:color w:val="auto"/>
                <w:sz w:val="22"/>
                <w:szCs w:val="22"/>
                <w:highlight w:val="none"/>
                <w:u w:val="none"/>
              </w:rPr>
            </w:pPr>
            <w:r>
              <w:rPr>
                <w:rFonts w:hint="eastAsia" w:ascii="仿宋_GB2312" w:hAnsi="仿宋_GB2312" w:eastAsia="仿宋_GB2312" w:cs="仿宋_GB2312"/>
                <w:i w:val="0"/>
                <w:color w:val="auto"/>
                <w:kern w:val="0"/>
                <w:sz w:val="22"/>
                <w:szCs w:val="22"/>
                <w:highlight w:val="none"/>
                <w:u w:val="none"/>
                <w:lang w:val="en-US" w:eastAsia="zh-CN" w:bidi="ar"/>
              </w:rPr>
              <w:t>是否按照要求完成约定的工作内容，服务成果不存在瑕疵或错误。</w:t>
            </w:r>
          </w:p>
        </w:tc>
        <w:tc>
          <w:tcPr>
            <w:tcW w:w="1166" w:type="pct"/>
            <w:gridSpan w:val="2"/>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_GB2312" w:hAnsi="仿宋_GB2312" w:eastAsia="仿宋_GB2312" w:cs="仿宋_GB2312"/>
                <w:i w:val="0"/>
                <w:color w:val="auto"/>
                <w:sz w:val="22"/>
                <w:szCs w:val="22"/>
                <w:highlight w:val="none"/>
                <w:u w:val="none"/>
              </w:rPr>
            </w:pPr>
            <w:r>
              <w:rPr>
                <w:rFonts w:hint="eastAsia" w:ascii="仿宋_GB2312" w:hAnsi="仿宋_GB2312" w:eastAsia="仿宋_GB2312" w:cs="仿宋_GB2312"/>
                <w:i w:val="0"/>
                <w:color w:val="auto"/>
                <w:kern w:val="0"/>
                <w:sz w:val="22"/>
                <w:szCs w:val="22"/>
                <w:highlight w:val="none"/>
                <w:u w:val="none"/>
                <w:lang w:val="en-US" w:eastAsia="zh-CN" w:bidi="ar"/>
              </w:rPr>
              <w:t>1.服务成果存在瑕疵或错误，视情况扣减1-10分。</w:t>
            </w:r>
            <w:r>
              <w:rPr>
                <w:rFonts w:hint="eastAsia" w:ascii="仿宋_GB2312" w:hAnsi="仿宋_GB2312" w:eastAsia="仿宋_GB2312" w:cs="仿宋_GB2312"/>
                <w:i w:val="0"/>
                <w:color w:val="auto"/>
                <w:kern w:val="0"/>
                <w:sz w:val="22"/>
                <w:szCs w:val="22"/>
                <w:highlight w:val="none"/>
                <w:u w:val="none"/>
                <w:lang w:val="en-US" w:eastAsia="zh-CN" w:bidi="ar"/>
              </w:rPr>
              <w:br w:type="textWrapping"/>
            </w:r>
            <w:r>
              <w:rPr>
                <w:rFonts w:hint="eastAsia" w:ascii="仿宋_GB2312" w:hAnsi="仿宋_GB2312" w:eastAsia="仿宋_GB2312" w:cs="仿宋_GB2312"/>
                <w:i w:val="0"/>
                <w:color w:val="auto"/>
                <w:kern w:val="0"/>
                <w:sz w:val="22"/>
                <w:szCs w:val="22"/>
                <w:highlight w:val="none"/>
                <w:u w:val="none"/>
                <w:lang w:val="en-US" w:eastAsia="zh-CN" w:bidi="ar"/>
              </w:rPr>
              <w:t>2.服务成果存在重大瑕疵或错误，并因此造成不利影响，发生一次扣15分。</w:t>
            </w:r>
          </w:p>
        </w:tc>
        <w:tc>
          <w:tcPr>
            <w:tcW w:w="612" w:type="pct"/>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jc w:val="center"/>
              <w:rPr>
                <w:rFonts w:hint="eastAsia" w:ascii="仿宋_GB2312" w:hAnsi="仿宋_GB2312" w:eastAsia="仿宋_GB2312" w:cs="仿宋_GB2312"/>
                <w:i w:val="0"/>
                <w:color w:val="auto"/>
                <w:sz w:val="22"/>
                <w:szCs w:val="22"/>
                <w:highlight w:val="none"/>
                <w:u w:val="none"/>
              </w:rPr>
            </w:pPr>
          </w:p>
        </w:tc>
        <w:tc>
          <w:tcPr>
            <w:tcW w:w="310" w:type="pct"/>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jc w:val="center"/>
              <w:rPr>
                <w:rFonts w:hint="eastAsia" w:ascii="仿宋_GB2312" w:hAnsi="仿宋_GB2312" w:eastAsia="仿宋_GB2312" w:cs="仿宋_GB2312"/>
                <w:i w:val="0"/>
                <w:color w:val="auto"/>
                <w:sz w:val="22"/>
                <w:szCs w:val="22"/>
                <w:highlight w:val="none"/>
                <w:u w:val="none"/>
              </w:rPr>
            </w:pPr>
          </w:p>
        </w:tc>
        <w:tc>
          <w:tcPr>
            <w:tcW w:w="305" w:type="pct"/>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jc w:val="center"/>
              <w:rPr>
                <w:rFonts w:hint="eastAsia" w:ascii="仿宋_GB2312" w:hAnsi="仿宋_GB2312" w:eastAsia="仿宋_GB2312" w:cs="仿宋_GB2312"/>
                <w:i w:val="0"/>
                <w:color w:val="auto"/>
                <w:sz w:val="22"/>
                <w:szCs w:val="22"/>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0" w:type="dxa"/>
            <w:bottom w:w="0" w:type="dxa"/>
            <w:right w:w="0" w:type="dxa"/>
          </w:tblCellMar>
        </w:tblPrEx>
        <w:trPr>
          <w:trHeight w:val="3060" w:hRule="atLeast"/>
        </w:trPr>
        <w:tc>
          <w:tcPr>
            <w:tcW w:w="431" w:type="pct"/>
            <w:vMerge w:val="continue"/>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jc w:val="center"/>
              <w:rPr>
                <w:rFonts w:hint="eastAsia" w:ascii="仿宋_GB2312" w:hAnsi="仿宋_GB2312" w:eastAsia="仿宋_GB2312" w:cs="仿宋_GB2312"/>
                <w:i w:val="0"/>
                <w:color w:val="auto"/>
                <w:sz w:val="22"/>
                <w:szCs w:val="22"/>
                <w:highlight w:val="none"/>
                <w:u w:val="none"/>
              </w:rPr>
            </w:pPr>
          </w:p>
        </w:tc>
        <w:tc>
          <w:tcPr>
            <w:tcW w:w="573" w:type="pct"/>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仿宋_GB2312" w:eastAsia="仿宋_GB2312" w:cs="仿宋_GB2312"/>
                <w:i w:val="0"/>
                <w:color w:val="auto"/>
                <w:sz w:val="22"/>
                <w:szCs w:val="22"/>
                <w:highlight w:val="none"/>
                <w:u w:val="none"/>
              </w:rPr>
            </w:pPr>
            <w:r>
              <w:rPr>
                <w:rFonts w:hint="eastAsia" w:ascii="仿宋_GB2312" w:hAnsi="仿宋_GB2312" w:eastAsia="仿宋_GB2312" w:cs="仿宋_GB2312"/>
                <w:i w:val="0"/>
                <w:color w:val="auto"/>
                <w:kern w:val="0"/>
                <w:sz w:val="22"/>
                <w:szCs w:val="22"/>
                <w:highlight w:val="none"/>
                <w:u w:val="none"/>
                <w:lang w:val="en-US" w:eastAsia="zh-CN" w:bidi="ar"/>
              </w:rPr>
              <w:t>人员情况</w:t>
            </w:r>
          </w:p>
        </w:tc>
        <w:tc>
          <w:tcPr>
            <w:tcW w:w="310" w:type="pct"/>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仿宋_GB2312" w:eastAsia="仿宋_GB2312" w:cs="仿宋_GB2312"/>
                <w:i w:val="0"/>
                <w:color w:val="auto"/>
                <w:sz w:val="22"/>
                <w:szCs w:val="22"/>
                <w:highlight w:val="none"/>
                <w:u w:val="none"/>
              </w:rPr>
            </w:pPr>
            <w:r>
              <w:rPr>
                <w:rFonts w:hint="eastAsia" w:ascii="仿宋_GB2312" w:hAnsi="仿宋_GB2312" w:eastAsia="仿宋_GB2312" w:cs="仿宋_GB2312"/>
                <w:i w:val="0"/>
                <w:color w:val="auto"/>
                <w:kern w:val="0"/>
                <w:sz w:val="22"/>
                <w:szCs w:val="22"/>
                <w:highlight w:val="none"/>
                <w:u w:val="none"/>
                <w:lang w:val="en-US" w:eastAsia="zh-CN" w:bidi="ar"/>
              </w:rPr>
              <w:t>10</w:t>
            </w:r>
          </w:p>
        </w:tc>
        <w:tc>
          <w:tcPr>
            <w:tcW w:w="1292" w:type="pct"/>
            <w:gridSpan w:val="3"/>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_GB2312" w:hAnsi="仿宋_GB2312" w:eastAsia="仿宋_GB2312" w:cs="仿宋_GB2312"/>
                <w:i w:val="0"/>
                <w:color w:val="auto"/>
                <w:sz w:val="22"/>
                <w:szCs w:val="22"/>
                <w:highlight w:val="none"/>
                <w:u w:val="none"/>
              </w:rPr>
            </w:pPr>
            <w:r>
              <w:rPr>
                <w:rFonts w:hint="eastAsia" w:ascii="仿宋_GB2312" w:hAnsi="仿宋_GB2312" w:eastAsia="仿宋_GB2312" w:cs="仿宋_GB2312"/>
                <w:i w:val="0"/>
                <w:color w:val="auto"/>
                <w:kern w:val="0"/>
                <w:sz w:val="22"/>
                <w:szCs w:val="22"/>
                <w:highlight w:val="none"/>
                <w:u w:val="none"/>
                <w:lang w:val="en-US" w:eastAsia="zh-CN" w:bidi="ar"/>
              </w:rPr>
              <w:t>1、派出的项目负责人及服务团队人员的业务能力和人数是否胜任业务复杂性和业务量。</w:t>
            </w:r>
            <w:r>
              <w:rPr>
                <w:rFonts w:hint="eastAsia" w:ascii="仿宋_GB2312" w:hAnsi="仿宋_GB2312" w:eastAsia="仿宋_GB2312" w:cs="仿宋_GB2312"/>
                <w:i w:val="0"/>
                <w:color w:val="auto"/>
                <w:kern w:val="0"/>
                <w:sz w:val="22"/>
                <w:szCs w:val="22"/>
                <w:highlight w:val="none"/>
                <w:u w:val="none"/>
                <w:lang w:val="en-US" w:eastAsia="zh-CN" w:bidi="ar"/>
              </w:rPr>
              <w:br w:type="textWrapping"/>
            </w:r>
            <w:r>
              <w:rPr>
                <w:rFonts w:hint="eastAsia" w:ascii="仿宋_GB2312" w:hAnsi="仿宋_GB2312" w:eastAsia="仿宋_GB2312" w:cs="仿宋_GB2312"/>
                <w:i w:val="0"/>
                <w:color w:val="auto"/>
                <w:kern w:val="0"/>
                <w:sz w:val="22"/>
                <w:szCs w:val="22"/>
                <w:highlight w:val="none"/>
                <w:u w:val="none"/>
                <w:lang w:val="en-US" w:eastAsia="zh-CN" w:bidi="ar"/>
              </w:rPr>
              <w:t>2、约定的项目负责人不得随意更换，服务团队人员不得随意减少。如特殊情况需要更换项目负责人，或者减少人员的需提出书面申请并获委托方同意。</w:t>
            </w:r>
          </w:p>
        </w:tc>
        <w:tc>
          <w:tcPr>
            <w:tcW w:w="1166" w:type="pct"/>
            <w:gridSpan w:val="2"/>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_GB2312" w:hAnsi="仿宋_GB2312" w:eastAsia="仿宋_GB2312" w:cs="仿宋_GB2312"/>
                <w:i w:val="0"/>
                <w:color w:val="auto"/>
                <w:sz w:val="22"/>
                <w:szCs w:val="22"/>
                <w:highlight w:val="none"/>
                <w:u w:val="none"/>
              </w:rPr>
            </w:pPr>
            <w:r>
              <w:rPr>
                <w:rFonts w:hint="eastAsia" w:ascii="仿宋_GB2312" w:hAnsi="仿宋_GB2312" w:eastAsia="仿宋_GB2312" w:cs="仿宋_GB2312"/>
                <w:i w:val="0"/>
                <w:color w:val="auto"/>
                <w:kern w:val="0"/>
                <w:sz w:val="22"/>
                <w:szCs w:val="22"/>
                <w:highlight w:val="none"/>
                <w:u w:val="none"/>
                <w:lang w:val="en-US" w:eastAsia="zh-CN" w:bidi="ar"/>
              </w:rPr>
              <w:t>1、无故更换项目负责人的，发生一次扣减10分。</w:t>
            </w:r>
            <w:r>
              <w:rPr>
                <w:rFonts w:hint="eastAsia" w:ascii="仿宋_GB2312" w:hAnsi="仿宋_GB2312" w:eastAsia="仿宋_GB2312" w:cs="仿宋_GB2312"/>
                <w:i w:val="0"/>
                <w:color w:val="auto"/>
                <w:kern w:val="0"/>
                <w:sz w:val="22"/>
                <w:szCs w:val="22"/>
                <w:highlight w:val="none"/>
                <w:u w:val="none"/>
                <w:lang w:val="en-US" w:eastAsia="zh-CN" w:bidi="ar"/>
              </w:rPr>
              <w:br w:type="textWrapping"/>
            </w:r>
            <w:r>
              <w:rPr>
                <w:rFonts w:hint="eastAsia" w:ascii="仿宋_GB2312" w:hAnsi="仿宋_GB2312" w:eastAsia="仿宋_GB2312" w:cs="仿宋_GB2312"/>
                <w:i w:val="0"/>
                <w:color w:val="auto"/>
                <w:kern w:val="0"/>
                <w:sz w:val="22"/>
                <w:szCs w:val="22"/>
                <w:highlight w:val="none"/>
                <w:u w:val="none"/>
                <w:lang w:val="en-US" w:eastAsia="zh-CN" w:bidi="ar"/>
              </w:rPr>
              <w:t>2、服务过程中发现项目负责人不胜任的，扣减5分，并变更负责人。</w:t>
            </w:r>
            <w:r>
              <w:rPr>
                <w:rFonts w:hint="eastAsia" w:ascii="仿宋_GB2312" w:hAnsi="仿宋_GB2312" w:eastAsia="仿宋_GB2312" w:cs="仿宋_GB2312"/>
                <w:i w:val="0"/>
                <w:color w:val="auto"/>
                <w:kern w:val="0"/>
                <w:sz w:val="22"/>
                <w:szCs w:val="22"/>
                <w:highlight w:val="none"/>
                <w:u w:val="none"/>
                <w:lang w:val="en-US" w:eastAsia="zh-CN" w:bidi="ar"/>
              </w:rPr>
              <w:br w:type="textWrapping"/>
            </w:r>
            <w:r>
              <w:rPr>
                <w:rFonts w:hint="eastAsia" w:ascii="仿宋_GB2312" w:hAnsi="仿宋_GB2312" w:eastAsia="仿宋_GB2312" w:cs="仿宋_GB2312"/>
                <w:i w:val="0"/>
                <w:color w:val="auto"/>
                <w:kern w:val="0"/>
                <w:sz w:val="22"/>
                <w:szCs w:val="22"/>
                <w:highlight w:val="none"/>
                <w:u w:val="none"/>
                <w:lang w:val="en-US" w:eastAsia="zh-CN" w:bidi="ar"/>
              </w:rPr>
              <w:t>3、未按要求更换能胜任的项目负责人的扣5分。</w:t>
            </w:r>
            <w:r>
              <w:rPr>
                <w:rFonts w:hint="eastAsia" w:ascii="仿宋_GB2312" w:hAnsi="仿宋_GB2312" w:eastAsia="仿宋_GB2312" w:cs="仿宋_GB2312"/>
                <w:i w:val="0"/>
                <w:color w:val="auto"/>
                <w:kern w:val="0"/>
                <w:sz w:val="22"/>
                <w:szCs w:val="22"/>
                <w:highlight w:val="none"/>
                <w:u w:val="none"/>
                <w:lang w:val="en-US" w:eastAsia="zh-CN" w:bidi="ar"/>
              </w:rPr>
              <w:br w:type="textWrapping"/>
            </w:r>
            <w:r>
              <w:rPr>
                <w:rFonts w:hint="eastAsia" w:ascii="仿宋_GB2312" w:hAnsi="仿宋_GB2312" w:eastAsia="仿宋_GB2312" w:cs="仿宋_GB2312"/>
                <w:i w:val="0"/>
                <w:color w:val="auto"/>
                <w:kern w:val="0"/>
                <w:sz w:val="22"/>
                <w:szCs w:val="22"/>
                <w:highlight w:val="none"/>
                <w:u w:val="none"/>
                <w:lang w:val="en-US" w:eastAsia="zh-CN" w:bidi="ar"/>
              </w:rPr>
              <w:t>4、过程中无故减少人员的，视情况扣减1-5分。</w:t>
            </w:r>
          </w:p>
        </w:tc>
        <w:tc>
          <w:tcPr>
            <w:tcW w:w="612" w:type="pct"/>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jc w:val="center"/>
              <w:rPr>
                <w:rFonts w:hint="eastAsia" w:ascii="仿宋_GB2312" w:hAnsi="仿宋_GB2312" w:eastAsia="仿宋_GB2312" w:cs="仿宋_GB2312"/>
                <w:i w:val="0"/>
                <w:color w:val="auto"/>
                <w:sz w:val="22"/>
                <w:szCs w:val="22"/>
                <w:highlight w:val="none"/>
                <w:u w:val="none"/>
              </w:rPr>
            </w:pPr>
          </w:p>
        </w:tc>
        <w:tc>
          <w:tcPr>
            <w:tcW w:w="310" w:type="pct"/>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jc w:val="center"/>
              <w:rPr>
                <w:rFonts w:hint="eastAsia" w:ascii="仿宋_GB2312" w:hAnsi="仿宋_GB2312" w:eastAsia="仿宋_GB2312" w:cs="仿宋_GB2312"/>
                <w:i w:val="0"/>
                <w:color w:val="auto"/>
                <w:sz w:val="22"/>
                <w:szCs w:val="22"/>
                <w:highlight w:val="none"/>
                <w:u w:val="none"/>
              </w:rPr>
            </w:pPr>
          </w:p>
        </w:tc>
        <w:tc>
          <w:tcPr>
            <w:tcW w:w="305" w:type="pct"/>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jc w:val="center"/>
              <w:rPr>
                <w:rFonts w:hint="eastAsia" w:ascii="仿宋_GB2312" w:hAnsi="仿宋_GB2312" w:eastAsia="仿宋_GB2312" w:cs="仿宋_GB2312"/>
                <w:i w:val="0"/>
                <w:color w:val="auto"/>
                <w:sz w:val="22"/>
                <w:szCs w:val="22"/>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0" w:type="dxa"/>
            <w:bottom w:w="0" w:type="dxa"/>
            <w:right w:w="0" w:type="dxa"/>
          </w:tblCellMar>
        </w:tblPrEx>
        <w:trPr>
          <w:trHeight w:val="1350" w:hRule="atLeast"/>
        </w:trPr>
        <w:tc>
          <w:tcPr>
            <w:tcW w:w="431" w:type="pct"/>
            <w:vMerge w:val="continue"/>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jc w:val="center"/>
              <w:rPr>
                <w:rFonts w:hint="eastAsia" w:ascii="仿宋_GB2312" w:hAnsi="仿宋_GB2312" w:eastAsia="仿宋_GB2312" w:cs="仿宋_GB2312"/>
                <w:i w:val="0"/>
                <w:color w:val="auto"/>
                <w:sz w:val="22"/>
                <w:szCs w:val="22"/>
                <w:highlight w:val="none"/>
                <w:u w:val="none"/>
              </w:rPr>
            </w:pPr>
          </w:p>
        </w:tc>
        <w:tc>
          <w:tcPr>
            <w:tcW w:w="573" w:type="pct"/>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仿宋_GB2312" w:eastAsia="仿宋_GB2312" w:cs="仿宋_GB2312"/>
                <w:i w:val="0"/>
                <w:color w:val="auto"/>
                <w:sz w:val="22"/>
                <w:szCs w:val="22"/>
                <w:highlight w:val="none"/>
                <w:u w:val="none"/>
              </w:rPr>
            </w:pPr>
            <w:r>
              <w:rPr>
                <w:rFonts w:hint="eastAsia" w:ascii="仿宋_GB2312" w:hAnsi="仿宋_GB2312" w:eastAsia="仿宋_GB2312" w:cs="仿宋_GB2312"/>
                <w:i w:val="0"/>
                <w:color w:val="auto"/>
                <w:kern w:val="0"/>
                <w:sz w:val="22"/>
                <w:szCs w:val="22"/>
                <w:highlight w:val="none"/>
                <w:u w:val="none"/>
                <w:lang w:val="en-US" w:eastAsia="zh-CN" w:bidi="ar"/>
              </w:rPr>
              <w:t>沟通质量</w:t>
            </w:r>
          </w:p>
        </w:tc>
        <w:tc>
          <w:tcPr>
            <w:tcW w:w="310" w:type="pct"/>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仿宋_GB2312" w:eastAsia="仿宋_GB2312" w:cs="仿宋_GB2312"/>
                <w:i w:val="0"/>
                <w:color w:val="auto"/>
                <w:sz w:val="22"/>
                <w:szCs w:val="22"/>
                <w:highlight w:val="none"/>
                <w:u w:val="none"/>
              </w:rPr>
            </w:pPr>
            <w:r>
              <w:rPr>
                <w:rFonts w:hint="eastAsia" w:ascii="仿宋_GB2312" w:hAnsi="仿宋_GB2312" w:eastAsia="仿宋_GB2312" w:cs="仿宋_GB2312"/>
                <w:i w:val="0"/>
                <w:color w:val="auto"/>
                <w:kern w:val="0"/>
                <w:sz w:val="22"/>
                <w:szCs w:val="22"/>
                <w:highlight w:val="none"/>
                <w:u w:val="none"/>
                <w:lang w:val="en-US" w:eastAsia="zh-CN" w:bidi="ar"/>
              </w:rPr>
              <w:t>10</w:t>
            </w:r>
          </w:p>
        </w:tc>
        <w:tc>
          <w:tcPr>
            <w:tcW w:w="1292" w:type="pct"/>
            <w:gridSpan w:val="3"/>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_GB2312" w:hAnsi="仿宋_GB2312" w:eastAsia="仿宋_GB2312" w:cs="仿宋_GB2312"/>
                <w:i w:val="0"/>
                <w:color w:val="auto"/>
                <w:sz w:val="22"/>
                <w:szCs w:val="22"/>
                <w:highlight w:val="none"/>
                <w:u w:val="none"/>
              </w:rPr>
            </w:pPr>
            <w:r>
              <w:rPr>
                <w:rFonts w:hint="eastAsia" w:ascii="仿宋_GB2312" w:hAnsi="仿宋_GB2312" w:eastAsia="仿宋_GB2312" w:cs="仿宋_GB2312"/>
                <w:i w:val="0"/>
                <w:color w:val="auto"/>
                <w:kern w:val="0"/>
                <w:sz w:val="22"/>
                <w:szCs w:val="22"/>
                <w:highlight w:val="none"/>
                <w:u w:val="none"/>
                <w:lang w:val="en-US" w:eastAsia="zh-CN" w:bidi="ar"/>
              </w:rPr>
              <w:t>是否主动、及时报告工作进度、工作情况、发现的问题等。</w:t>
            </w:r>
          </w:p>
        </w:tc>
        <w:tc>
          <w:tcPr>
            <w:tcW w:w="1166" w:type="pct"/>
            <w:gridSpan w:val="2"/>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_GB2312" w:hAnsi="仿宋_GB2312" w:eastAsia="仿宋_GB2312" w:cs="仿宋_GB2312"/>
                <w:i w:val="0"/>
                <w:color w:val="auto"/>
                <w:sz w:val="22"/>
                <w:szCs w:val="22"/>
                <w:highlight w:val="none"/>
                <w:u w:val="none"/>
              </w:rPr>
            </w:pPr>
            <w:r>
              <w:rPr>
                <w:rFonts w:hint="eastAsia" w:ascii="仿宋_GB2312" w:hAnsi="仿宋_GB2312" w:eastAsia="仿宋_GB2312" w:cs="仿宋_GB2312"/>
                <w:i w:val="0"/>
                <w:color w:val="auto"/>
                <w:kern w:val="0"/>
                <w:sz w:val="22"/>
                <w:szCs w:val="22"/>
                <w:highlight w:val="none"/>
                <w:u w:val="none"/>
                <w:lang w:val="en-US" w:eastAsia="zh-CN" w:bidi="ar"/>
              </w:rPr>
              <w:t>1、重大问题未及时沟通，发生一次扣减5分。</w:t>
            </w:r>
            <w:r>
              <w:rPr>
                <w:rFonts w:hint="eastAsia" w:ascii="仿宋_GB2312" w:hAnsi="仿宋_GB2312" w:eastAsia="仿宋_GB2312" w:cs="仿宋_GB2312"/>
                <w:i w:val="0"/>
                <w:color w:val="auto"/>
                <w:kern w:val="0"/>
                <w:sz w:val="22"/>
                <w:szCs w:val="22"/>
                <w:highlight w:val="none"/>
                <w:u w:val="none"/>
                <w:lang w:val="en-US" w:eastAsia="zh-CN" w:bidi="ar"/>
              </w:rPr>
              <w:br w:type="textWrapping"/>
            </w:r>
            <w:r>
              <w:rPr>
                <w:rFonts w:hint="eastAsia" w:ascii="仿宋_GB2312" w:hAnsi="仿宋_GB2312" w:eastAsia="仿宋_GB2312" w:cs="仿宋_GB2312"/>
                <w:i w:val="0"/>
                <w:color w:val="auto"/>
                <w:kern w:val="0"/>
                <w:sz w:val="22"/>
                <w:szCs w:val="22"/>
                <w:highlight w:val="none"/>
                <w:u w:val="none"/>
                <w:lang w:val="en-US" w:eastAsia="zh-CN" w:bidi="ar"/>
              </w:rPr>
              <w:t>2、对工作进度、工作情况、发现的问题未及时沟通的，视情况扣减1-5分。</w:t>
            </w:r>
          </w:p>
        </w:tc>
        <w:tc>
          <w:tcPr>
            <w:tcW w:w="612" w:type="pct"/>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jc w:val="center"/>
              <w:rPr>
                <w:rFonts w:hint="eastAsia" w:ascii="仿宋_GB2312" w:hAnsi="仿宋_GB2312" w:eastAsia="仿宋_GB2312" w:cs="仿宋_GB2312"/>
                <w:i w:val="0"/>
                <w:color w:val="auto"/>
                <w:sz w:val="22"/>
                <w:szCs w:val="22"/>
                <w:highlight w:val="none"/>
                <w:u w:val="none"/>
              </w:rPr>
            </w:pPr>
          </w:p>
        </w:tc>
        <w:tc>
          <w:tcPr>
            <w:tcW w:w="310" w:type="pct"/>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jc w:val="center"/>
              <w:rPr>
                <w:rFonts w:hint="eastAsia" w:ascii="仿宋_GB2312" w:hAnsi="仿宋_GB2312" w:eastAsia="仿宋_GB2312" w:cs="仿宋_GB2312"/>
                <w:i w:val="0"/>
                <w:color w:val="auto"/>
                <w:sz w:val="22"/>
                <w:szCs w:val="22"/>
                <w:highlight w:val="none"/>
                <w:u w:val="none"/>
              </w:rPr>
            </w:pPr>
          </w:p>
        </w:tc>
        <w:tc>
          <w:tcPr>
            <w:tcW w:w="305" w:type="pct"/>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jc w:val="center"/>
              <w:rPr>
                <w:rFonts w:hint="eastAsia" w:ascii="仿宋_GB2312" w:hAnsi="仿宋_GB2312" w:eastAsia="仿宋_GB2312" w:cs="仿宋_GB2312"/>
                <w:i w:val="0"/>
                <w:color w:val="auto"/>
                <w:sz w:val="22"/>
                <w:szCs w:val="22"/>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0" w:type="dxa"/>
            <w:bottom w:w="0" w:type="dxa"/>
            <w:right w:w="0" w:type="dxa"/>
          </w:tblCellMar>
        </w:tblPrEx>
        <w:trPr>
          <w:trHeight w:val="1500" w:hRule="atLeast"/>
        </w:trPr>
        <w:tc>
          <w:tcPr>
            <w:tcW w:w="431" w:type="pct"/>
            <w:vMerge w:val="continue"/>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jc w:val="center"/>
              <w:rPr>
                <w:rFonts w:hint="eastAsia" w:ascii="仿宋_GB2312" w:hAnsi="仿宋_GB2312" w:eastAsia="仿宋_GB2312" w:cs="仿宋_GB2312"/>
                <w:i w:val="0"/>
                <w:color w:val="auto"/>
                <w:sz w:val="22"/>
                <w:szCs w:val="22"/>
                <w:highlight w:val="none"/>
                <w:u w:val="none"/>
              </w:rPr>
            </w:pPr>
          </w:p>
        </w:tc>
        <w:tc>
          <w:tcPr>
            <w:tcW w:w="573" w:type="pct"/>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仿宋_GB2312" w:eastAsia="仿宋_GB2312" w:cs="仿宋_GB2312"/>
                <w:i w:val="0"/>
                <w:color w:val="auto"/>
                <w:sz w:val="22"/>
                <w:szCs w:val="22"/>
                <w:highlight w:val="none"/>
                <w:u w:val="none"/>
              </w:rPr>
            </w:pPr>
            <w:r>
              <w:rPr>
                <w:rFonts w:hint="eastAsia" w:ascii="仿宋_GB2312" w:hAnsi="仿宋_GB2312" w:eastAsia="仿宋_GB2312" w:cs="仿宋_GB2312"/>
                <w:i w:val="0"/>
                <w:color w:val="auto"/>
                <w:kern w:val="0"/>
                <w:sz w:val="22"/>
                <w:szCs w:val="22"/>
                <w:highlight w:val="none"/>
                <w:u w:val="none"/>
                <w:lang w:val="en-US" w:eastAsia="zh-CN" w:bidi="ar"/>
              </w:rPr>
              <w:t>工作时效性</w:t>
            </w:r>
          </w:p>
        </w:tc>
        <w:tc>
          <w:tcPr>
            <w:tcW w:w="310" w:type="pct"/>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仿宋_GB2312" w:eastAsia="仿宋_GB2312" w:cs="仿宋_GB2312"/>
                <w:i w:val="0"/>
                <w:color w:val="auto"/>
                <w:sz w:val="22"/>
                <w:szCs w:val="22"/>
                <w:highlight w:val="none"/>
                <w:u w:val="none"/>
              </w:rPr>
            </w:pPr>
            <w:r>
              <w:rPr>
                <w:rFonts w:hint="eastAsia" w:ascii="仿宋_GB2312" w:hAnsi="仿宋_GB2312" w:eastAsia="仿宋_GB2312" w:cs="仿宋_GB2312"/>
                <w:i w:val="0"/>
                <w:color w:val="auto"/>
                <w:kern w:val="0"/>
                <w:sz w:val="22"/>
                <w:szCs w:val="22"/>
                <w:highlight w:val="none"/>
                <w:u w:val="none"/>
                <w:lang w:val="en-US" w:eastAsia="zh-CN" w:bidi="ar"/>
              </w:rPr>
              <w:t>30</w:t>
            </w:r>
          </w:p>
        </w:tc>
        <w:tc>
          <w:tcPr>
            <w:tcW w:w="1292" w:type="pct"/>
            <w:gridSpan w:val="3"/>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_GB2312" w:hAnsi="仿宋_GB2312" w:eastAsia="仿宋_GB2312" w:cs="仿宋_GB2312"/>
                <w:i w:val="0"/>
                <w:color w:val="auto"/>
                <w:sz w:val="22"/>
                <w:szCs w:val="22"/>
                <w:highlight w:val="none"/>
                <w:u w:val="none"/>
              </w:rPr>
            </w:pPr>
            <w:r>
              <w:rPr>
                <w:rFonts w:hint="eastAsia" w:ascii="仿宋_GB2312" w:hAnsi="仿宋_GB2312" w:eastAsia="仿宋_GB2312" w:cs="仿宋_GB2312"/>
                <w:i w:val="0"/>
                <w:color w:val="auto"/>
                <w:kern w:val="0"/>
                <w:sz w:val="22"/>
                <w:szCs w:val="22"/>
                <w:highlight w:val="none"/>
                <w:u w:val="none"/>
                <w:lang w:val="en-US" w:eastAsia="zh-CN" w:bidi="ar"/>
              </w:rPr>
              <w:t>是否在约定的时限内完成约定的工作内容，及时提交服务成果，如特殊情况需延迟的，需提出书面申请并获得委托方同意。</w:t>
            </w:r>
          </w:p>
        </w:tc>
        <w:tc>
          <w:tcPr>
            <w:tcW w:w="1166" w:type="pct"/>
            <w:gridSpan w:val="2"/>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_GB2312" w:hAnsi="仿宋_GB2312" w:eastAsia="仿宋_GB2312" w:cs="仿宋_GB2312"/>
                <w:i w:val="0"/>
                <w:color w:val="auto"/>
                <w:sz w:val="22"/>
                <w:szCs w:val="22"/>
                <w:highlight w:val="none"/>
                <w:u w:val="none"/>
              </w:rPr>
            </w:pPr>
            <w:r>
              <w:rPr>
                <w:rFonts w:hint="eastAsia" w:ascii="仿宋_GB2312" w:hAnsi="仿宋_GB2312" w:eastAsia="仿宋_GB2312" w:cs="仿宋_GB2312"/>
                <w:i w:val="0"/>
                <w:color w:val="auto"/>
                <w:kern w:val="0"/>
                <w:sz w:val="22"/>
                <w:szCs w:val="22"/>
                <w:highlight w:val="none"/>
                <w:u w:val="none"/>
                <w:lang w:val="en-US" w:eastAsia="zh-CN" w:bidi="ar"/>
              </w:rPr>
              <w:t>每延迟一天扣1分（不分工作日非工作日）。</w:t>
            </w:r>
          </w:p>
        </w:tc>
        <w:tc>
          <w:tcPr>
            <w:tcW w:w="612" w:type="pct"/>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jc w:val="center"/>
              <w:rPr>
                <w:rFonts w:hint="eastAsia" w:ascii="仿宋_GB2312" w:hAnsi="仿宋_GB2312" w:eastAsia="仿宋_GB2312" w:cs="仿宋_GB2312"/>
                <w:i w:val="0"/>
                <w:color w:val="auto"/>
                <w:sz w:val="22"/>
                <w:szCs w:val="22"/>
                <w:highlight w:val="none"/>
                <w:u w:val="none"/>
              </w:rPr>
            </w:pPr>
          </w:p>
        </w:tc>
        <w:tc>
          <w:tcPr>
            <w:tcW w:w="310" w:type="pct"/>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jc w:val="center"/>
              <w:rPr>
                <w:rFonts w:hint="eastAsia" w:ascii="仿宋_GB2312" w:hAnsi="仿宋_GB2312" w:eastAsia="仿宋_GB2312" w:cs="仿宋_GB2312"/>
                <w:i w:val="0"/>
                <w:color w:val="auto"/>
                <w:sz w:val="22"/>
                <w:szCs w:val="22"/>
                <w:highlight w:val="none"/>
                <w:u w:val="none"/>
              </w:rPr>
            </w:pPr>
          </w:p>
        </w:tc>
        <w:tc>
          <w:tcPr>
            <w:tcW w:w="305" w:type="pct"/>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jc w:val="center"/>
              <w:rPr>
                <w:rFonts w:hint="eastAsia" w:ascii="仿宋_GB2312" w:hAnsi="仿宋_GB2312" w:eastAsia="仿宋_GB2312" w:cs="仿宋_GB2312"/>
                <w:i w:val="0"/>
                <w:color w:val="auto"/>
                <w:sz w:val="22"/>
                <w:szCs w:val="22"/>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0" w:type="dxa"/>
            <w:bottom w:w="0" w:type="dxa"/>
            <w:right w:w="0" w:type="dxa"/>
          </w:tblCellMar>
        </w:tblPrEx>
        <w:trPr>
          <w:trHeight w:val="680" w:hRule="atLeast"/>
        </w:trPr>
        <w:tc>
          <w:tcPr>
            <w:tcW w:w="431" w:type="pct"/>
            <w:vMerge w:val="restart"/>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仿宋_GB2312" w:eastAsia="仿宋_GB2312" w:cs="仿宋_GB2312"/>
                <w:i w:val="0"/>
                <w:color w:val="auto"/>
                <w:sz w:val="22"/>
                <w:szCs w:val="22"/>
                <w:highlight w:val="none"/>
                <w:u w:val="none"/>
              </w:rPr>
            </w:pPr>
            <w:r>
              <w:rPr>
                <w:rFonts w:hint="eastAsia" w:ascii="仿宋_GB2312" w:hAnsi="仿宋_GB2312" w:eastAsia="仿宋_GB2312" w:cs="仿宋_GB2312"/>
                <w:i w:val="0"/>
                <w:color w:val="auto"/>
                <w:kern w:val="0"/>
                <w:sz w:val="22"/>
                <w:szCs w:val="22"/>
                <w:highlight w:val="none"/>
                <w:u w:val="none"/>
                <w:lang w:val="en-US" w:eastAsia="zh-CN" w:bidi="ar"/>
              </w:rPr>
              <w:t>其他事项</w:t>
            </w:r>
          </w:p>
        </w:tc>
        <w:tc>
          <w:tcPr>
            <w:tcW w:w="573" w:type="pct"/>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仿宋_GB2312" w:eastAsia="仿宋_GB2312" w:cs="仿宋_GB2312"/>
                <w:i w:val="0"/>
                <w:color w:val="auto"/>
                <w:sz w:val="22"/>
                <w:szCs w:val="22"/>
                <w:highlight w:val="none"/>
                <w:u w:val="none"/>
              </w:rPr>
            </w:pPr>
            <w:r>
              <w:rPr>
                <w:rFonts w:hint="eastAsia" w:ascii="仿宋_GB2312" w:hAnsi="仿宋_GB2312" w:eastAsia="仿宋_GB2312" w:cs="仿宋_GB2312"/>
                <w:i w:val="0"/>
                <w:color w:val="auto"/>
                <w:kern w:val="0"/>
                <w:sz w:val="22"/>
                <w:szCs w:val="22"/>
                <w:highlight w:val="none"/>
                <w:u w:val="none"/>
                <w:lang w:val="en-US" w:eastAsia="zh-CN" w:bidi="ar"/>
              </w:rPr>
              <w:t>其他加分项</w:t>
            </w:r>
          </w:p>
        </w:tc>
        <w:tc>
          <w:tcPr>
            <w:tcW w:w="310" w:type="pct"/>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仿宋_GB2312" w:eastAsia="仿宋_GB2312" w:cs="仿宋_GB2312"/>
                <w:i w:val="0"/>
                <w:color w:val="auto"/>
                <w:sz w:val="22"/>
                <w:szCs w:val="22"/>
                <w:highlight w:val="none"/>
                <w:u w:val="none"/>
              </w:rPr>
            </w:pPr>
            <w:r>
              <w:rPr>
                <w:rFonts w:hint="eastAsia" w:ascii="仿宋_GB2312" w:hAnsi="仿宋_GB2312" w:eastAsia="仿宋_GB2312" w:cs="仿宋_GB2312"/>
                <w:i w:val="0"/>
                <w:color w:val="auto"/>
                <w:kern w:val="0"/>
                <w:sz w:val="22"/>
                <w:szCs w:val="22"/>
                <w:highlight w:val="none"/>
                <w:u w:val="none"/>
                <w:lang w:val="en-US" w:eastAsia="zh-CN" w:bidi="ar"/>
              </w:rPr>
              <w:t>/</w:t>
            </w:r>
          </w:p>
        </w:tc>
        <w:tc>
          <w:tcPr>
            <w:tcW w:w="1292" w:type="pct"/>
            <w:gridSpan w:val="3"/>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_GB2312" w:hAnsi="仿宋_GB2312" w:eastAsia="仿宋_GB2312" w:cs="仿宋_GB2312"/>
                <w:i w:val="0"/>
                <w:color w:val="auto"/>
                <w:sz w:val="22"/>
                <w:szCs w:val="22"/>
                <w:highlight w:val="none"/>
                <w:u w:val="none"/>
              </w:rPr>
            </w:pPr>
            <w:r>
              <w:rPr>
                <w:rFonts w:hint="eastAsia" w:ascii="仿宋_GB2312" w:hAnsi="仿宋_GB2312" w:eastAsia="仿宋_GB2312" w:cs="仿宋_GB2312"/>
                <w:i w:val="0"/>
                <w:color w:val="auto"/>
                <w:kern w:val="0"/>
                <w:sz w:val="22"/>
                <w:szCs w:val="22"/>
                <w:highlight w:val="none"/>
                <w:u w:val="none"/>
                <w:lang w:val="en-US" w:eastAsia="zh-CN" w:bidi="ar"/>
              </w:rPr>
              <w:t>在约定范围外，是否为公司提供其他的宣讲与培训。</w:t>
            </w:r>
          </w:p>
        </w:tc>
        <w:tc>
          <w:tcPr>
            <w:tcW w:w="1166" w:type="pct"/>
            <w:gridSpan w:val="2"/>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_GB2312" w:hAnsi="仿宋_GB2312" w:eastAsia="仿宋_GB2312" w:cs="仿宋_GB2312"/>
                <w:i w:val="0"/>
                <w:color w:val="auto"/>
                <w:sz w:val="22"/>
                <w:szCs w:val="22"/>
                <w:highlight w:val="none"/>
                <w:u w:val="none"/>
              </w:rPr>
            </w:pPr>
            <w:r>
              <w:rPr>
                <w:rFonts w:hint="eastAsia" w:ascii="仿宋_GB2312" w:hAnsi="仿宋_GB2312" w:eastAsia="仿宋_GB2312" w:cs="仿宋_GB2312"/>
                <w:i w:val="0"/>
                <w:color w:val="auto"/>
                <w:kern w:val="0"/>
                <w:sz w:val="22"/>
                <w:szCs w:val="22"/>
                <w:highlight w:val="none"/>
                <w:u w:val="none"/>
                <w:lang w:val="en-US" w:eastAsia="zh-CN" w:bidi="ar"/>
              </w:rPr>
              <w:t>举办一次加10分。</w:t>
            </w:r>
          </w:p>
        </w:tc>
        <w:tc>
          <w:tcPr>
            <w:tcW w:w="612" w:type="pct"/>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jc w:val="center"/>
              <w:rPr>
                <w:rFonts w:hint="eastAsia" w:ascii="仿宋_GB2312" w:hAnsi="仿宋_GB2312" w:eastAsia="仿宋_GB2312" w:cs="仿宋_GB2312"/>
                <w:i w:val="0"/>
                <w:color w:val="auto"/>
                <w:sz w:val="22"/>
                <w:szCs w:val="22"/>
                <w:highlight w:val="none"/>
                <w:u w:val="none"/>
              </w:rPr>
            </w:pPr>
          </w:p>
        </w:tc>
        <w:tc>
          <w:tcPr>
            <w:tcW w:w="310" w:type="pct"/>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jc w:val="center"/>
              <w:rPr>
                <w:rFonts w:hint="eastAsia" w:ascii="仿宋_GB2312" w:hAnsi="仿宋_GB2312" w:eastAsia="仿宋_GB2312" w:cs="仿宋_GB2312"/>
                <w:i w:val="0"/>
                <w:color w:val="auto"/>
                <w:sz w:val="22"/>
                <w:szCs w:val="22"/>
                <w:highlight w:val="none"/>
                <w:u w:val="none"/>
              </w:rPr>
            </w:pPr>
          </w:p>
        </w:tc>
        <w:tc>
          <w:tcPr>
            <w:tcW w:w="305" w:type="pct"/>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jc w:val="center"/>
              <w:rPr>
                <w:rFonts w:hint="eastAsia" w:ascii="仿宋_GB2312" w:hAnsi="仿宋_GB2312" w:eastAsia="仿宋_GB2312" w:cs="仿宋_GB2312"/>
                <w:i w:val="0"/>
                <w:color w:val="auto"/>
                <w:sz w:val="22"/>
                <w:szCs w:val="22"/>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0" w:type="dxa"/>
            <w:bottom w:w="0" w:type="dxa"/>
            <w:right w:w="0" w:type="dxa"/>
          </w:tblCellMar>
        </w:tblPrEx>
        <w:trPr>
          <w:trHeight w:val="940" w:hRule="atLeast"/>
        </w:trPr>
        <w:tc>
          <w:tcPr>
            <w:tcW w:w="431" w:type="pct"/>
            <w:vMerge w:val="continue"/>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jc w:val="center"/>
              <w:rPr>
                <w:rFonts w:hint="eastAsia" w:ascii="仿宋_GB2312" w:hAnsi="仿宋_GB2312" w:eastAsia="仿宋_GB2312" w:cs="仿宋_GB2312"/>
                <w:i w:val="0"/>
                <w:color w:val="auto"/>
                <w:sz w:val="22"/>
                <w:szCs w:val="22"/>
                <w:highlight w:val="none"/>
                <w:u w:val="none"/>
              </w:rPr>
            </w:pPr>
          </w:p>
        </w:tc>
        <w:tc>
          <w:tcPr>
            <w:tcW w:w="573" w:type="pct"/>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仿宋_GB2312" w:eastAsia="仿宋_GB2312" w:cs="仿宋_GB2312"/>
                <w:i w:val="0"/>
                <w:color w:val="auto"/>
                <w:sz w:val="22"/>
                <w:szCs w:val="22"/>
                <w:highlight w:val="none"/>
                <w:u w:val="none"/>
              </w:rPr>
            </w:pPr>
            <w:r>
              <w:rPr>
                <w:rFonts w:hint="eastAsia" w:ascii="仿宋_GB2312" w:hAnsi="仿宋_GB2312" w:eastAsia="仿宋_GB2312" w:cs="仿宋_GB2312"/>
                <w:i w:val="0"/>
                <w:color w:val="auto"/>
                <w:kern w:val="0"/>
                <w:sz w:val="22"/>
                <w:szCs w:val="22"/>
                <w:highlight w:val="none"/>
                <w:u w:val="none"/>
                <w:lang w:val="en-US" w:eastAsia="zh-CN" w:bidi="ar"/>
              </w:rPr>
              <w:t>其他重大事项</w:t>
            </w:r>
          </w:p>
        </w:tc>
        <w:tc>
          <w:tcPr>
            <w:tcW w:w="310" w:type="pct"/>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仿宋_GB2312" w:eastAsia="仿宋_GB2312" w:cs="仿宋_GB2312"/>
                <w:i w:val="0"/>
                <w:color w:val="auto"/>
                <w:sz w:val="22"/>
                <w:szCs w:val="22"/>
                <w:highlight w:val="none"/>
                <w:u w:val="none"/>
              </w:rPr>
            </w:pPr>
            <w:r>
              <w:rPr>
                <w:rFonts w:hint="eastAsia" w:ascii="仿宋_GB2312" w:hAnsi="仿宋_GB2312" w:eastAsia="仿宋_GB2312" w:cs="仿宋_GB2312"/>
                <w:i w:val="0"/>
                <w:color w:val="auto"/>
                <w:kern w:val="0"/>
                <w:sz w:val="22"/>
                <w:szCs w:val="22"/>
                <w:highlight w:val="none"/>
                <w:u w:val="none"/>
                <w:lang w:val="en-US" w:eastAsia="zh-CN" w:bidi="ar"/>
              </w:rPr>
              <w:t>/</w:t>
            </w:r>
          </w:p>
        </w:tc>
        <w:tc>
          <w:tcPr>
            <w:tcW w:w="1292" w:type="pct"/>
            <w:gridSpan w:val="3"/>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_GB2312" w:hAnsi="仿宋_GB2312" w:eastAsia="仿宋_GB2312" w:cs="仿宋_GB2312"/>
                <w:i w:val="0"/>
                <w:color w:val="auto"/>
                <w:sz w:val="22"/>
                <w:szCs w:val="22"/>
                <w:highlight w:val="none"/>
                <w:u w:val="none"/>
              </w:rPr>
            </w:pPr>
            <w:r>
              <w:rPr>
                <w:rFonts w:hint="eastAsia" w:ascii="仿宋_GB2312" w:hAnsi="仿宋_GB2312" w:eastAsia="仿宋_GB2312" w:cs="仿宋_GB2312"/>
                <w:i w:val="0"/>
                <w:color w:val="auto"/>
                <w:kern w:val="0"/>
                <w:sz w:val="22"/>
                <w:szCs w:val="22"/>
                <w:highlight w:val="none"/>
                <w:u w:val="none"/>
                <w:lang w:val="en-US" w:eastAsia="zh-CN" w:bidi="ar"/>
              </w:rPr>
              <w:t>是否工作中存在重大失误，泄露公司机密，导致公司发生严重损失。</w:t>
            </w:r>
          </w:p>
        </w:tc>
        <w:tc>
          <w:tcPr>
            <w:tcW w:w="1166" w:type="pct"/>
            <w:gridSpan w:val="2"/>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_GB2312" w:hAnsi="仿宋_GB2312" w:eastAsia="仿宋_GB2312" w:cs="仿宋_GB2312"/>
                <w:i w:val="0"/>
                <w:color w:val="auto"/>
                <w:sz w:val="22"/>
                <w:szCs w:val="22"/>
                <w:highlight w:val="none"/>
                <w:u w:val="none"/>
              </w:rPr>
            </w:pPr>
            <w:r>
              <w:rPr>
                <w:rFonts w:hint="eastAsia" w:ascii="仿宋_GB2312" w:hAnsi="仿宋_GB2312" w:eastAsia="仿宋_GB2312" w:cs="仿宋_GB2312"/>
                <w:i w:val="0"/>
                <w:color w:val="auto"/>
                <w:kern w:val="0"/>
                <w:sz w:val="22"/>
                <w:szCs w:val="22"/>
                <w:highlight w:val="none"/>
                <w:u w:val="none"/>
                <w:lang w:val="en-US" w:eastAsia="zh-CN" w:bidi="ar"/>
              </w:rPr>
              <w:t>一次否决。</w:t>
            </w:r>
          </w:p>
        </w:tc>
        <w:tc>
          <w:tcPr>
            <w:tcW w:w="612" w:type="pct"/>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bottom"/>
          </w:tcPr>
          <w:p>
            <w:pPr>
              <w:rPr>
                <w:rFonts w:hint="eastAsia" w:ascii="仿宋_GB2312" w:hAnsi="仿宋_GB2312" w:eastAsia="仿宋_GB2312" w:cs="仿宋_GB2312"/>
                <w:i w:val="0"/>
                <w:color w:val="auto"/>
                <w:sz w:val="22"/>
                <w:szCs w:val="22"/>
                <w:highlight w:val="none"/>
                <w:u w:val="none"/>
              </w:rPr>
            </w:pPr>
          </w:p>
        </w:tc>
        <w:tc>
          <w:tcPr>
            <w:tcW w:w="310" w:type="pct"/>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bottom"/>
          </w:tcPr>
          <w:p>
            <w:pPr>
              <w:rPr>
                <w:rFonts w:hint="eastAsia" w:ascii="仿宋_GB2312" w:hAnsi="仿宋_GB2312" w:eastAsia="仿宋_GB2312" w:cs="仿宋_GB2312"/>
                <w:i w:val="0"/>
                <w:color w:val="auto"/>
                <w:sz w:val="22"/>
                <w:szCs w:val="22"/>
                <w:highlight w:val="none"/>
                <w:u w:val="none"/>
              </w:rPr>
            </w:pPr>
          </w:p>
        </w:tc>
        <w:tc>
          <w:tcPr>
            <w:tcW w:w="305" w:type="pct"/>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bottom"/>
          </w:tcPr>
          <w:p>
            <w:pPr>
              <w:rPr>
                <w:rFonts w:hint="eastAsia" w:ascii="仿宋_GB2312" w:hAnsi="仿宋_GB2312" w:eastAsia="仿宋_GB2312" w:cs="仿宋_GB2312"/>
                <w:i w:val="0"/>
                <w:color w:val="auto"/>
                <w:sz w:val="22"/>
                <w:szCs w:val="22"/>
                <w:highlight w:val="none"/>
                <w:u w:val="none"/>
              </w:rPr>
            </w:pPr>
          </w:p>
        </w:tc>
      </w:tr>
    </w:tbl>
    <w:p/>
    <w:sectPr>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86"/>
    <w:family w:val="auto"/>
    <w:pitch w:val="default"/>
    <w:sig w:usb0="E0002EFF" w:usb1="C000785B" w:usb2="00000009" w:usb3="00000000" w:csb0="400001FF" w:csb1="FFFF0000"/>
  </w:font>
  <w:font w:name="宋体">
    <w:panose1 w:val="02010600030101010101"/>
    <w:charset w:val="50"/>
    <w:family w:val="auto"/>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仿宋_GB2312">
    <w:panose1 w:val="02010609030101010101"/>
    <w:charset w:val="86"/>
    <w:family w:val="modern"/>
    <w:pitch w:val="default"/>
    <w:sig w:usb0="00000001" w:usb1="080E0000" w:usb2="00000000" w:usb3="00000000" w:csb0="00040000"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77"/>
  <w:embedSystemFonts/>
  <w:bordersDoNotSurroundHeader w:val="1"/>
  <w:bordersDoNotSurroundFooter w:val="1"/>
  <w:documentProtection w:enforcement="0"/>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10D75BF4"/>
    <w:rsid w:val="00D210A4"/>
    <w:rsid w:val="027829AA"/>
    <w:rsid w:val="078E272D"/>
    <w:rsid w:val="0FD73941"/>
    <w:rsid w:val="10D75BF4"/>
    <w:rsid w:val="14977A09"/>
    <w:rsid w:val="151048A6"/>
    <w:rsid w:val="16030405"/>
    <w:rsid w:val="1CDF50E4"/>
    <w:rsid w:val="1FE7776B"/>
    <w:rsid w:val="200F0EB2"/>
    <w:rsid w:val="27540ED1"/>
    <w:rsid w:val="27A7545E"/>
    <w:rsid w:val="2803413D"/>
    <w:rsid w:val="2CA5144D"/>
    <w:rsid w:val="2D312C22"/>
    <w:rsid w:val="2D6831A3"/>
    <w:rsid w:val="307944FE"/>
    <w:rsid w:val="33316432"/>
    <w:rsid w:val="3D8E3F81"/>
    <w:rsid w:val="3FC90CFC"/>
    <w:rsid w:val="43770924"/>
    <w:rsid w:val="464840AB"/>
    <w:rsid w:val="475209D6"/>
    <w:rsid w:val="48941600"/>
    <w:rsid w:val="499E0A5C"/>
    <w:rsid w:val="52D91EBE"/>
    <w:rsid w:val="548C7DD8"/>
    <w:rsid w:val="55A33926"/>
    <w:rsid w:val="571A029D"/>
    <w:rsid w:val="587F70EC"/>
    <w:rsid w:val="59EB3BF0"/>
    <w:rsid w:val="5D19464B"/>
    <w:rsid w:val="64A82F32"/>
    <w:rsid w:val="65DB128F"/>
    <w:rsid w:val="67DA371A"/>
    <w:rsid w:val="6EC73A65"/>
    <w:rsid w:val="75C841B7"/>
    <w:rsid w:val="7E553DBB"/>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mc:Ignorable="w14">
  <w:docDefaults>
    <w:rPrDefault>
      <w:rPr>
        <w:rFonts w:asciiTheme="minorHAnsi" w:hAnsiTheme="minorHAnsi" w:eastAsiaTheme="minorEastAsia" w:cstheme="minorBidi"/>
      </w:rPr>
    </w:r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qFormat="1"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pPr>
      <w:widowControl w:val="0"/>
      <w:jc w:val="both"/>
    </w:pPr>
    <w:rPr>
      <w:rFonts w:asciiTheme="minorHAnsi" w:hAnsiTheme="minorHAnsi" w:eastAsiaTheme="minorEastAsia" w:cstheme="minorBidi"/>
      <w:kern w:val="2"/>
      <w:sz w:val="21"/>
      <w:szCs w:val="24"/>
      <w:lang w:val="en-US" w:eastAsia="zh-CN" w:bidi="ar-SA"/>
    </w:rPr>
  </w:style>
  <w:style w:type="character" w:default="1" w:styleId="5">
    <w:name w:val="Default Paragraph Font"/>
    <w:semiHidden/>
    <w:qFormat/>
    <w:uiPriority w:val="0"/>
  </w:style>
  <w:style w:type="table" w:default="1" w:styleId="4">
    <w:name w:val="Normal Table"/>
    <w:semiHidden/>
    <w:qFormat/>
    <w:uiPriority w:val="0"/>
    <w:tblPr>
      <w:tblCellMar>
        <w:top w:w="0" w:type="dxa"/>
        <w:left w:w="108" w:type="dxa"/>
        <w:bottom w:w="0" w:type="dxa"/>
        <w:right w:w="108" w:type="dxa"/>
      </w:tblCellMar>
    </w:tblPr>
  </w:style>
  <w:style w:type="paragraph" w:customStyle="1" w:styleId="2">
    <w:name w:val="AONormal"/>
    <w:qFormat/>
    <w:uiPriority w:val="0"/>
    <w:pPr>
      <w:spacing w:line="260" w:lineRule="atLeast"/>
    </w:pPr>
    <w:rPr>
      <w:rFonts w:ascii="Times New Roman" w:hAnsi="Times New Roman" w:eastAsia="宋体" w:cs="Times New Roman"/>
      <w:sz w:val="22"/>
      <w:szCs w:val="22"/>
      <w:lang w:val="en-US" w:eastAsia="en-US" w:bidi="ar-SA"/>
    </w:rPr>
  </w:style>
  <w:style w:type="paragraph" w:styleId="3">
    <w:name w:val="Normal Indent"/>
    <w:basedOn w:val="1"/>
    <w:qFormat/>
    <w:uiPriority w:val="0"/>
    <w:pPr>
      <w:ind w:firstLine="420" w:firstLineChars="200"/>
    </w:pPr>
  </w:style>
</w:styles>
</file>

<file path=word/_rels/document.xml.rels><?xml version="1.0" encoding="UTF-8" standalone="yes"?>
<Relationships xmlns="http://schemas.openxmlformats.org/package/2006/relationships"><Relationship Id="rId5" Type="http://schemas.openxmlformats.org/officeDocument/2006/relationships/fontTable" Target="fontTable.xml"/><Relationship Id="rId4" Type="http://schemas.openxmlformats.org/officeDocument/2006/relationships/customXml" Target="../customXml/item1.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Company>四川省国有资产经营投资管理有限责任公司</Company>
  <Pages>1</Pages>
  <Words>0</Words>
  <Characters>0</Characters>
  <Lines>0</Lines>
  <Paragraphs>0</Paragraphs>
  <TotalTime>0</TotalTime>
  <ScaleCrop>false</ScaleCrop>
  <LinksUpToDate>false</LinksUpToDate>
  <CharactersWithSpaces>0</CharactersWithSpaces>
  <Application>WPS Office_11.8.6.9023_F1E327BC-269C-435d-A152-05C5408002CA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2023-02-09T08:43:00Z</dcterms:created>
  <dc:creator>罗杨</dc:creator>
  <cp:lastModifiedBy>罗杨</cp:lastModifiedBy>
  <dcterms:modified xsi:type="dcterms:W3CDTF">2023-02-09T08:44:29Z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2052-11.8.6.9023</vt:lpwstr>
  </property>
</Properties>
</file>